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EB7EB2">
        <w:rPr>
          <w:rFonts w:ascii="Palatino Linotype" w:hAnsi="Palatino Linotype" w:cs="Arial"/>
          <w:b/>
          <w:bCs/>
          <w:sz w:val="23"/>
          <w:szCs w:val="23"/>
        </w:rPr>
        <w:t>4802</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461BC" w:rsidRPr="008461BC"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34148" w:history="1">
            <w:r w:rsidR="008461BC" w:rsidRPr="008461BC">
              <w:rPr>
                <w:rStyle w:val="Hipervnculo"/>
                <w:rFonts w:eastAsia="Times New Roman"/>
                <w:sz w:val="24"/>
                <w:szCs w:val="24"/>
              </w:rPr>
              <w:t>I.</w:t>
            </w:r>
            <w:r w:rsidR="008461BC" w:rsidRPr="008461BC">
              <w:rPr>
                <w:rFonts w:asciiTheme="minorHAnsi" w:eastAsiaTheme="minorEastAsia" w:hAnsiTheme="minorHAnsi"/>
                <w:b w:val="0"/>
                <w:sz w:val="24"/>
                <w:szCs w:val="24"/>
                <w:lang w:eastAsia="es-MX"/>
              </w:rPr>
              <w:tab/>
            </w:r>
            <w:r w:rsidR="008461BC" w:rsidRPr="008461BC">
              <w:rPr>
                <w:rStyle w:val="Hipervnculo"/>
                <w:rFonts w:eastAsia="Times New Roman"/>
                <w:sz w:val="24"/>
                <w:szCs w:val="24"/>
              </w:rPr>
              <w:t>Consideraciones Generales</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_Toc2634148 \h </w:instrText>
            </w:r>
            <w:r w:rsidR="008461BC" w:rsidRPr="008461BC">
              <w:rPr>
                <w:webHidden/>
                <w:sz w:val="24"/>
                <w:szCs w:val="24"/>
              </w:rPr>
            </w:r>
            <w:r w:rsidR="008461BC" w:rsidRPr="008461BC">
              <w:rPr>
                <w:webHidden/>
                <w:sz w:val="24"/>
                <w:szCs w:val="24"/>
              </w:rPr>
              <w:fldChar w:fldCharType="separate"/>
            </w:r>
            <w:r w:rsidR="000C4FA1">
              <w:rPr>
                <w:webHidden/>
                <w:sz w:val="24"/>
                <w:szCs w:val="24"/>
              </w:rPr>
              <w:t>1</w:t>
            </w:r>
            <w:r w:rsidR="008461BC" w:rsidRPr="008461BC">
              <w:rPr>
                <w:webHidden/>
                <w:sz w:val="24"/>
                <w:szCs w:val="24"/>
              </w:rPr>
              <w:fldChar w:fldCharType="end"/>
            </w:r>
          </w:hyperlink>
        </w:p>
        <w:p w:rsidR="008461BC" w:rsidRPr="008461BC" w:rsidRDefault="00F00CA8">
          <w:pPr>
            <w:pStyle w:val="TDC1"/>
            <w:rPr>
              <w:rFonts w:asciiTheme="minorHAnsi" w:eastAsiaTheme="minorEastAsia" w:hAnsiTheme="minorHAnsi"/>
              <w:b w:val="0"/>
              <w:sz w:val="24"/>
              <w:szCs w:val="24"/>
              <w:lang w:eastAsia="es-MX"/>
            </w:rPr>
          </w:pPr>
          <w:hyperlink w:anchor="_Toc2634149" w:history="1">
            <w:r w:rsidR="008461BC" w:rsidRPr="008461BC">
              <w:rPr>
                <w:rStyle w:val="Hipervnculo"/>
                <w:rFonts w:eastAsia="Calibri"/>
                <w:sz w:val="24"/>
                <w:szCs w:val="24"/>
                <w:lang w:val="es-ES"/>
              </w:rPr>
              <w:t>II.</w:t>
            </w:r>
            <w:r w:rsidR="008461BC" w:rsidRPr="008461BC">
              <w:rPr>
                <w:rFonts w:asciiTheme="minorHAnsi" w:eastAsiaTheme="minorEastAsia" w:hAnsiTheme="minorHAnsi"/>
                <w:b w:val="0"/>
                <w:sz w:val="24"/>
                <w:szCs w:val="24"/>
                <w:lang w:eastAsia="es-MX"/>
              </w:rPr>
              <w:tab/>
            </w:r>
            <w:r w:rsidR="008461BC" w:rsidRPr="008461BC">
              <w:rPr>
                <w:rStyle w:val="Hipervnculo"/>
                <w:rFonts w:eastAsia="Calibri"/>
                <w:sz w:val="24"/>
                <w:szCs w:val="24"/>
                <w:lang w:val="es-ES"/>
              </w:rPr>
              <w:t>De los requerimientos planteados en el recurso de revisión.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_Toc2634149 \h </w:instrText>
            </w:r>
            <w:r w:rsidR="008461BC" w:rsidRPr="008461BC">
              <w:rPr>
                <w:webHidden/>
                <w:sz w:val="24"/>
                <w:szCs w:val="24"/>
              </w:rPr>
            </w:r>
            <w:r w:rsidR="008461BC" w:rsidRPr="008461BC">
              <w:rPr>
                <w:webHidden/>
                <w:sz w:val="24"/>
                <w:szCs w:val="24"/>
              </w:rPr>
              <w:fldChar w:fldCharType="separate"/>
            </w:r>
            <w:r w:rsidR="000C4FA1">
              <w:rPr>
                <w:webHidden/>
                <w:sz w:val="24"/>
                <w:szCs w:val="24"/>
              </w:rPr>
              <w:t>2</w:t>
            </w:r>
            <w:r w:rsidR="008461BC" w:rsidRPr="008461BC">
              <w:rPr>
                <w:webHidden/>
                <w:sz w:val="24"/>
                <w:szCs w:val="24"/>
              </w:rPr>
              <w:fldChar w:fldCharType="end"/>
            </w:r>
          </w:hyperlink>
        </w:p>
        <w:p w:rsidR="008461BC" w:rsidRPr="008461BC" w:rsidRDefault="00F00CA8">
          <w:pPr>
            <w:pStyle w:val="TDC2"/>
            <w:rPr>
              <w:rFonts w:asciiTheme="minorHAnsi" w:eastAsiaTheme="minorEastAsia" w:hAnsiTheme="minorHAnsi"/>
              <w:b w:val="0"/>
              <w:lang w:eastAsia="es-MX"/>
            </w:rPr>
          </w:pPr>
          <w:hyperlink w:anchor="_Toc2634150" w:history="1">
            <w:r w:rsidR="008461BC" w:rsidRPr="008461BC">
              <w:rPr>
                <w:rStyle w:val="Hipervnculo"/>
              </w:rPr>
              <w:t>III. Del Derecho de Acceso a la información pública y el deber de motivar.</w:t>
            </w:r>
            <w:r w:rsidR="008461BC" w:rsidRPr="008461BC">
              <w:rPr>
                <w:webHidden/>
              </w:rPr>
              <w:tab/>
            </w:r>
            <w:r w:rsidR="008461BC" w:rsidRPr="008461BC">
              <w:rPr>
                <w:webHidden/>
              </w:rPr>
              <w:fldChar w:fldCharType="begin"/>
            </w:r>
            <w:r w:rsidR="008461BC" w:rsidRPr="008461BC">
              <w:rPr>
                <w:webHidden/>
              </w:rPr>
              <w:instrText xml:space="preserve"> PAGEREF _Toc2634150 \h </w:instrText>
            </w:r>
            <w:r w:rsidR="008461BC" w:rsidRPr="008461BC">
              <w:rPr>
                <w:webHidden/>
              </w:rPr>
            </w:r>
            <w:r w:rsidR="008461BC" w:rsidRPr="008461BC">
              <w:rPr>
                <w:webHidden/>
              </w:rPr>
              <w:fldChar w:fldCharType="separate"/>
            </w:r>
            <w:r w:rsidR="000C4FA1">
              <w:rPr>
                <w:webHidden/>
              </w:rPr>
              <w:t>12</w:t>
            </w:r>
            <w:r w:rsidR="008461BC" w:rsidRPr="008461BC">
              <w:rPr>
                <w:webHidden/>
              </w:rPr>
              <w:fldChar w:fldCharType="end"/>
            </w:r>
          </w:hyperlink>
        </w:p>
        <w:p w:rsidR="008461BC" w:rsidRPr="008461BC" w:rsidRDefault="00F00CA8">
          <w:pPr>
            <w:pStyle w:val="TDC1"/>
            <w:rPr>
              <w:rFonts w:asciiTheme="minorHAnsi" w:eastAsiaTheme="minorEastAsia" w:hAnsiTheme="minorHAnsi"/>
              <w:b w:val="0"/>
              <w:sz w:val="24"/>
              <w:szCs w:val="24"/>
              <w:lang w:eastAsia="es-MX"/>
            </w:rPr>
          </w:pPr>
          <w:hyperlink w:anchor="_Toc2634151" w:history="1">
            <w:r w:rsidR="008461BC" w:rsidRPr="008461BC">
              <w:rPr>
                <w:rStyle w:val="Hipervnculo"/>
                <w:rFonts w:eastAsia="Calibri"/>
                <w:sz w:val="24"/>
                <w:szCs w:val="24"/>
              </w:rPr>
              <w:t>IV. Del Pronunciamiento simple</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_Toc2634151 \h </w:instrText>
            </w:r>
            <w:r w:rsidR="008461BC" w:rsidRPr="008461BC">
              <w:rPr>
                <w:webHidden/>
                <w:sz w:val="24"/>
                <w:szCs w:val="24"/>
              </w:rPr>
            </w:r>
            <w:r w:rsidR="008461BC" w:rsidRPr="008461BC">
              <w:rPr>
                <w:webHidden/>
                <w:sz w:val="24"/>
                <w:szCs w:val="24"/>
              </w:rPr>
              <w:fldChar w:fldCharType="separate"/>
            </w:r>
            <w:r w:rsidR="000C4FA1">
              <w:rPr>
                <w:webHidden/>
                <w:sz w:val="24"/>
                <w:szCs w:val="24"/>
              </w:rPr>
              <w:t>17</w:t>
            </w:r>
            <w:r w:rsidR="008461BC" w:rsidRPr="008461BC">
              <w:rPr>
                <w:webHidden/>
                <w:sz w:val="24"/>
                <w:szCs w:val="24"/>
              </w:rPr>
              <w:fldChar w:fldCharType="end"/>
            </w:r>
          </w:hyperlink>
        </w:p>
        <w:p w:rsidR="008461BC" w:rsidRDefault="00F00CA8">
          <w:pPr>
            <w:pStyle w:val="TDC1"/>
            <w:rPr>
              <w:rFonts w:asciiTheme="minorHAnsi" w:eastAsiaTheme="minorEastAsia" w:hAnsiTheme="minorHAnsi"/>
              <w:b w:val="0"/>
              <w:sz w:val="22"/>
              <w:szCs w:val="22"/>
              <w:lang w:eastAsia="es-MX"/>
            </w:rPr>
          </w:pPr>
          <w:hyperlink w:anchor="_Toc2634152" w:history="1">
            <w:r w:rsidR="008461BC" w:rsidRPr="008461BC">
              <w:rPr>
                <w:rStyle w:val="Hipervnculo"/>
                <w:rFonts w:eastAsia="Calibri"/>
                <w:sz w:val="24"/>
                <w:szCs w:val="24"/>
              </w:rPr>
              <w:t>V. Conclusión.</w:t>
            </w:r>
            <w:r w:rsidR="008461BC" w:rsidRPr="008461BC">
              <w:rPr>
                <w:webHidden/>
                <w:sz w:val="24"/>
                <w:szCs w:val="24"/>
              </w:rPr>
              <w:tab/>
            </w:r>
            <w:r w:rsidR="008461BC" w:rsidRPr="008461BC">
              <w:rPr>
                <w:webHidden/>
                <w:sz w:val="24"/>
                <w:szCs w:val="24"/>
              </w:rPr>
              <w:fldChar w:fldCharType="begin"/>
            </w:r>
            <w:r w:rsidR="008461BC" w:rsidRPr="008461BC">
              <w:rPr>
                <w:webHidden/>
                <w:sz w:val="24"/>
                <w:szCs w:val="24"/>
              </w:rPr>
              <w:instrText xml:space="preserve"> PAGEREF _Toc2634152 \h </w:instrText>
            </w:r>
            <w:r w:rsidR="008461BC" w:rsidRPr="008461BC">
              <w:rPr>
                <w:webHidden/>
                <w:sz w:val="24"/>
                <w:szCs w:val="24"/>
              </w:rPr>
            </w:r>
            <w:r w:rsidR="008461BC" w:rsidRPr="008461BC">
              <w:rPr>
                <w:webHidden/>
                <w:sz w:val="24"/>
                <w:szCs w:val="24"/>
              </w:rPr>
              <w:fldChar w:fldCharType="separate"/>
            </w:r>
            <w:r w:rsidR="000C4FA1">
              <w:rPr>
                <w:webHidden/>
                <w:sz w:val="24"/>
                <w:szCs w:val="24"/>
              </w:rPr>
              <w:t>35</w:t>
            </w:r>
            <w:r w:rsidR="008461BC" w:rsidRPr="008461BC">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148"/>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CF2C3E">
        <w:rPr>
          <w:rFonts w:ascii="Palatino Linotype" w:eastAsia="Calibri" w:hAnsi="Palatino Linotype" w:cs="Arial"/>
          <w:sz w:val="24"/>
          <w:szCs w:val="24"/>
        </w:rPr>
        <w:t>l</w:t>
      </w:r>
      <w:r w:rsidR="00CF2C3E" w:rsidRPr="00CF2C3E">
        <w:rPr>
          <w:rFonts w:ascii="Palatino Linotype" w:hAnsi="Palatino Linotype" w:cs="Arial"/>
          <w:b/>
          <w:sz w:val="24"/>
        </w:rPr>
        <w:t xml:space="preserve"> </w:t>
      </w:r>
      <w:r w:rsidR="00CF2C3E" w:rsidRPr="00633A1E">
        <w:rPr>
          <w:rFonts w:ascii="Palatino Linotype" w:hAnsi="Palatino Linotype" w:cs="Arial"/>
          <w:b/>
          <w:sz w:val="24"/>
        </w:rPr>
        <w:t>Ayuntamiento de Tlatlaya,</w:t>
      </w:r>
      <w:r w:rsidR="00FA571E" w:rsidRPr="00FA571E">
        <w:rPr>
          <w:rFonts w:ascii="Palatino Linotype" w:hAnsi="Palatino Linotype" w:cs="Arial"/>
          <w:b/>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CF2C3E">
        <w:rPr>
          <w:rFonts w:ascii="Palatino Linotype" w:hAnsi="Palatino Linotype" w:cs="Arial"/>
          <w:b/>
          <w:bCs/>
          <w:sz w:val="24"/>
          <w:szCs w:val="24"/>
        </w:rPr>
        <w:t>802</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CF2C3E">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14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FA571E">
        <w:rPr>
          <w:rFonts w:ascii="Palatino Linotype" w:eastAsia="Calibri" w:hAnsi="Palatino Linotype" w:cs="Times New Roman"/>
          <w:sz w:val="24"/>
          <w:szCs w:val="24"/>
        </w:rPr>
        <w:t xml:space="preserve"> </w:t>
      </w:r>
      <w:r w:rsidR="00CF2C3E">
        <w:rPr>
          <w:rFonts w:ascii="Palatino Linotype" w:eastAsia="Calibri" w:hAnsi="Palatino Linotype" w:cs="Times New Roman"/>
          <w:sz w:val="24"/>
          <w:szCs w:val="24"/>
        </w:rPr>
        <w:t>el</w:t>
      </w:r>
      <w:r w:rsidR="00FA571E" w:rsidRPr="00FA571E">
        <w:rPr>
          <w:rFonts w:ascii="Palatino Linotype" w:hAnsi="Palatino Linotype" w:cs="Arial"/>
          <w:b/>
          <w:sz w:val="24"/>
          <w:szCs w:val="24"/>
        </w:rPr>
        <w:t xml:space="preserve"> </w:t>
      </w:r>
      <w:r w:rsidR="00CF2C3E" w:rsidRPr="00CF2C3E">
        <w:rPr>
          <w:rFonts w:ascii="Palatino Linotype" w:hAnsi="Palatino Linotype" w:cs="Arial"/>
          <w:b/>
          <w:sz w:val="24"/>
          <w:szCs w:val="24"/>
        </w:rPr>
        <w:t>Ayuntamiento de Tlatlaya,</w:t>
      </w:r>
      <w:r w:rsidR="00CF2C3E">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w:t>
      </w:r>
      <w:r w:rsidRPr="00633A1E">
        <w:rPr>
          <w:rFonts w:ascii="Palatino Linotype" w:hAnsi="Palatino Linotype" w:cs="Arial"/>
          <w:b/>
          <w:i/>
        </w:rPr>
        <w:t>I.- PRESUPUESTO DEL SISTEMA DE ALUMBRADO PÚBLICO MUNICIPAL</w:t>
      </w:r>
      <w:r w:rsidRPr="00633A1E">
        <w:rPr>
          <w:rFonts w:ascii="Palatino Linotype" w:hAnsi="Palatino Linotype" w:cs="Arial"/>
          <w:i/>
        </w:rPr>
        <w:t xml:space="preserve">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1. El importe por concepto de alumbrado público facturado por CFE en el municipio, desglosado ya sea por mes o bimestre, de los años 2013, 2014, 2015, 2016, 2017 y los meses que van de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b/>
          <w:i/>
        </w:rPr>
        <w:lastRenderedPageBreak/>
        <w:t>II.- INFRAESTRUCTURA DEL SISTEMA DE ALUMBRADO PÚBLICO</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6. Se solicita el censo de alumbrado público de los ejercicios 2016, 2017, 2018 o en su caso, el censo más reciente del municipio, en el que se desglose la siguiente información: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a. Me indique la cantidad de luminarias y balastros, el tipo de equipos, la capacidad (</w:t>
      </w:r>
      <w:r w:rsidRPr="00633A1E">
        <w:rPr>
          <w:rFonts w:ascii="Palatino Linotype" w:hAnsi="Palatino Linotype" w:cs="Arial"/>
          <w:b/>
          <w:i/>
        </w:rPr>
        <w:t>potencia</w:t>
      </w:r>
      <w:r w:rsidRPr="00633A1E">
        <w:rPr>
          <w:rFonts w:ascii="Palatino Linotype" w:hAnsi="Palatino Linotype" w:cs="Arial"/>
          <w:i/>
        </w:rPr>
        <w:t>), la ubicación (</w:t>
      </w:r>
      <w:r w:rsidRPr="00633A1E">
        <w:rPr>
          <w:rFonts w:ascii="Palatino Linotype" w:hAnsi="Palatino Linotype" w:cs="Arial"/>
          <w:b/>
          <w:i/>
        </w:rPr>
        <w:t>calle y/o colonia y/o delegación</w:t>
      </w:r>
      <w:r w:rsidRPr="00633A1E">
        <w:rPr>
          <w:rFonts w:ascii="Palatino Linotype" w:hAnsi="Palatino Linotype" w:cs="Arial"/>
          <w:i/>
        </w:rPr>
        <w:t>), y el tipo de poste en el que están montadas las luminarias (</w:t>
      </w:r>
      <w:r w:rsidRPr="00633A1E">
        <w:rPr>
          <w:rFonts w:ascii="Palatino Linotype" w:hAnsi="Palatino Linotype" w:cs="Arial"/>
          <w:b/>
          <w:i/>
        </w:rPr>
        <w:t>lámina, concreto, madera etcétera</w:t>
      </w:r>
      <w:r w:rsidRPr="00633A1E">
        <w:rPr>
          <w:rFonts w:ascii="Palatino Linotype" w:hAnsi="Palatino Linotype" w:cs="Arial"/>
          <w:i/>
        </w:rPr>
        <w:t>).</w:t>
      </w:r>
    </w:p>
    <w:p w:rsidR="000A356D" w:rsidRPr="00633A1E" w:rsidRDefault="000A356D" w:rsidP="000A356D">
      <w:pPr>
        <w:tabs>
          <w:tab w:val="left" w:pos="851"/>
        </w:tabs>
        <w:spacing w:after="0" w:line="240" w:lineRule="auto"/>
        <w:ind w:left="851" w:right="901"/>
        <w:jc w:val="both"/>
        <w:rPr>
          <w:rFonts w:ascii="Palatino Linotype" w:hAnsi="Palatino Linotype" w:cs="Arial"/>
          <w:b/>
          <w:i/>
        </w:rPr>
      </w:pPr>
      <w:r w:rsidRPr="00633A1E">
        <w:rPr>
          <w:rFonts w:ascii="Palatino Linotype" w:hAnsi="Palatino Linotype" w:cs="Arial"/>
          <w:i/>
        </w:rPr>
        <w:tab/>
        <w:t xml:space="preserve"> b. El </w:t>
      </w:r>
      <w:r w:rsidRPr="00633A1E">
        <w:rPr>
          <w:rFonts w:ascii="Palatino Linotype" w:hAnsi="Palatino Linotype" w:cs="Arial"/>
          <w:b/>
          <w:i/>
        </w:rPr>
        <w:t xml:space="preserve">Registro Permanente de Usuario </w:t>
      </w:r>
      <w:r w:rsidRPr="00633A1E">
        <w:rPr>
          <w:rFonts w:ascii="Palatino Linotype" w:hAnsi="Palatino Linotype" w:cs="Arial"/>
          <w:i/>
        </w:rPr>
        <w:t xml:space="preserve">(RPU o RPUs) asignado (s) al servicio de alumbrado público municipal </w:t>
      </w:r>
      <w:r w:rsidRPr="00633A1E">
        <w:rPr>
          <w:rFonts w:ascii="Palatino Linotype" w:hAnsi="Palatino Linotype" w:cs="Arial"/>
          <w:b/>
          <w:i/>
        </w:rPr>
        <w:t>tanto del servicio estimado como del servicio medido.</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c. La cantidad desglosada de luminarias y balastros instalados, el tipo de equipos y su capacidad (potencia) </w:t>
      </w:r>
      <w:r w:rsidRPr="00633A1E">
        <w:rPr>
          <w:rFonts w:ascii="Palatino Linotype" w:hAnsi="Palatino Linotype" w:cs="Arial"/>
          <w:b/>
          <w:i/>
        </w:rPr>
        <w:t>instalados en las avenidas principales del municipio.</w:t>
      </w:r>
      <w:r w:rsidRPr="00633A1E">
        <w:rPr>
          <w:rFonts w:ascii="Palatino Linotype" w:hAnsi="Palatino Linotype" w:cs="Arial"/>
          <w:i/>
        </w:rPr>
        <w:t xml:space="preserve"> </w:t>
      </w:r>
    </w:p>
    <w:p w:rsidR="000A356D" w:rsidRPr="00633A1E" w:rsidRDefault="000A356D" w:rsidP="000A356D">
      <w:pPr>
        <w:tabs>
          <w:tab w:val="left" w:pos="851"/>
        </w:tabs>
        <w:spacing w:after="0" w:line="240" w:lineRule="auto"/>
        <w:ind w:left="851" w:right="901"/>
        <w:jc w:val="both"/>
        <w:rPr>
          <w:rFonts w:ascii="Palatino Linotype" w:hAnsi="Palatino Linotype" w:cs="Arial"/>
          <w:b/>
          <w:i/>
        </w:rPr>
      </w:pPr>
      <w:r w:rsidRPr="00633A1E">
        <w:rPr>
          <w:rFonts w:ascii="Palatino Linotype" w:hAnsi="Palatino Linotype" w:cs="Arial"/>
          <w:i/>
        </w:rPr>
        <w:tab/>
        <w:t xml:space="preserve">d. La cantidad de luminarias y balastros instalados, el tipo de equipos y su capacidad (potencia) instalados que </w:t>
      </w:r>
      <w:r w:rsidRPr="00633A1E">
        <w:rPr>
          <w:rFonts w:ascii="Palatino Linotype" w:hAnsi="Palatino Linotype" w:cs="Arial"/>
          <w:b/>
          <w:i/>
        </w:rPr>
        <w:t>poseen equipo de medición.</w:t>
      </w:r>
    </w:p>
    <w:p w:rsidR="000A356D" w:rsidRPr="00633A1E" w:rsidRDefault="000A356D" w:rsidP="000A356D">
      <w:pPr>
        <w:tabs>
          <w:tab w:val="left" w:pos="851"/>
        </w:tabs>
        <w:spacing w:after="0" w:line="240" w:lineRule="auto"/>
        <w:ind w:left="851" w:right="901"/>
        <w:jc w:val="both"/>
        <w:rPr>
          <w:rFonts w:ascii="Palatino Linotype" w:hAnsi="Palatino Linotype"/>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7. Del </w:t>
      </w:r>
      <w:r w:rsidRPr="00633A1E">
        <w:rPr>
          <w:rFonts w:ascii="Palatino Linotype" w:hAnsi="Palatino Linotype" w:cs="Arial"/>
          <w:i/>
          <w:color w:val="FF0000"/>
        </w:rPr>
        <w:t xml:space="preserve">censo anterior al censo más reciente </w:t>
      </w:r>
      <w:r w:rsidRPr="00633A1E">
        <w:rPr>
          <w:rFonts w:ascii="Palatino Linotype" w:hAnsi="Palatino Linotype" w:cs="Arial"/>
          <w:i/>
        </w:rPr>
        <w:t xml:space="preserve">de luminarias y balastros del sistema de alumbrado público municipal que exista en el municipio, que contenga la siguiente información: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e. La cantidad de luminarias y balastros, el tipo de equipos, la capacidad (potencia), la ubicación (calle y/o colonia y/o delegación) y el tipo de poste en el que están montadas las luminarias (lámina, concreto, madera, etcétera).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f. </w:t>
      </w:r>
      <w:r w:rsidRPr="00633A1E">
        <w:rPr>
          <w:rFonts w:ascii="Palatino Linotype" w:hAnsi="Palatino Linotype" w:cs="Arial"/>
          <w:b/>
          <w:i/>
        </w:rPr>
        <w:t>El Registro Permanente de Usuario</w:t>
      </w:r>
      <w:r w:rsidRPr="00633A1E">
        <w:rPr>
          <w:rFonts w:ascii="Palatino Linotype" w:hAnsi="Palatino Linotype" w:cs="Arial"/>
          <w:i/>
        </w:rPr>
        <w:t xml:space="preserve"> (RPU o RPUs) asignado (s) al servicio de alumbrado público municipal tanto del servicio estimado como del servicio medido.</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b/>
          <w:i/>
        </w:rPr>
        <w:t>III.- COBERTURA (EXPANSIÓN) DEL SISTEMA DE ALUMBRADO PÚBLICO</w:t>
      </w:r>
      <w:r w:rsidRPr="00633A1E">
        <w:rPr>
          <w:rFonts w:ascii="Palatino Linotype" w:hAnsi="Palatino Linotype" w:cs="Arial"/>
          <w:i/>
        </w:rPr>
        <w:t xml:space="preserve">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8. En caso de que el municipio haya realizado un </w:t>
      </w:r>
      <w:r w:rsidRPr="00633A1E">
        <w:rPr>
          <w:rFonts w:ascii="Palatino Linotype" w:hAnsi="Palatino Linotype" w:cs="Arial"/>
          <w:i/>
          <w:color w:val="FF0000"/>
        </w:rPr>
        <w:t xml:space="preserve">proyecto de electrificación </w:t>
      </w:r>
      <w:r w:rsidRPr="00633A1E">
        <w:rPr>
          <w:rFonts w:ascii="Palatino Linotype" w:hAnsi="Palatino Linotype" w:cs="Arial"/>
          <w:i/>
        </w:rPr>
        <w:t xml:space="preserve">para ampliar el sistema de alumbrado público y ofrecer este servicio a la o las comunidades durante los años 2013, 2014, 2015, 2016, 2017 y los meses que van de 2018, solicito la siguiente información desglosada: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a. El monto total de la inversión,</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lastRenderedPageBreak/>
        <w:tab/>
        <w:t xml:space="preserve">b. El tipo o fuente de financiamiento (recurso propio, recurso estatal, recurso federal, crédito, arrendamiento, APP, etcétera),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c. La cantidad de equipos colocados y/o sustituidos,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d. El tipo de equipos (Led, VSAP, suburbana, etcétera),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e. La capacidad instalada (potencia),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f. La ubicación (calle y/o colonia y/o delegación).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g. La fecha de inicio y término de obra,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h. Así como la fecha de modificación de su nuevo consumo en el sistema de facturación del alumbrado público ante CFE.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i. En donde se notificaron o publicaron los proyectos.</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b/>
          <w:i/>
        </w:rPr>
      </w:pPr>
      <w:r w:rsidRPr="00633A1E">
        <w:rPr>
          <w:rFonts w:ascii="Palatino Linotype" w:hAnsi="Palatino Linotype" w:cs="Arial"/>
          <w:b/>
          <w:i/>
        </w:rPr>
        <w:t>IV.- MODERNIZACIÓN DEL SISTEMA DE ALUMBRADO PÚBLICO</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a. El monto total de la inversión,</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b. El tipo o fuente de financiamiento (recurso propio, recurso estatal, recurso federal, crédito, arrendamiento, APP, etcétera),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c. La cantidad de equipos colocados y/o sustituidos,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d. El tipo de equipos (Led, VSAP, suburbana, etcétera),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e. La capacidad instalada (potencia),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f. La ubicación (calle y/o colonia y/o delegación).</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g. La fecha de inicio y término de obra,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h. La georreferenciación de cada uno de los puntos de luz del nuevo alumbrado público,</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i. La fecha de modificación de su nuevo consumo en el sistema de facturación del alumbrado público ante CFE.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j. El tipo de contrato celebrado para la adquisición de los nuevos equipos (licitación en su modalidad abierta o restringida, o adjudicación directa)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k. Número y nombre de las empresas concursantes o convocadas.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l. Los criterios de selección utilizados por el comité de adquisiciones para elegir a la empresa contratada para realizar la modernización del sistema de alumbrado público.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ab/>
        <w:t xml:space="preserve">m. El acta de cabildo en el cual se fundamenta, justifica, expone y autoriza el proyecto.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10.El número de solicitudes ciudadanas formales realizadas al municipio para ampliar el sistema de alumbrado público mediante proyectos de electrificación durante los años 2013, 2014, 2015, 2016, 2017 y los meses que van de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11. El número de solicitudes ciudadanas que fueron atendidas y concluidas para ampliar el sistema de alumbrado público durante los años 2013, 2014, 2015, 2016, 2017 y los meses que van del 2018.</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b/>
          <w:i/>
        </w:rPr>
        <w:t>V.- ADMINISTRACIÓN DEL SERVICIO DE ALUMBRADO PÚBLICO</w:t>
      </w:r>
      <w:r w:rsidRPr="00633A1E">
        <w:rPr>
          <w:rFonts w:ascii="Palatino Linotype" w:hAnsi="Palatino Linotype" w:cs="Arial"/>
          <w:i/>
        </w:rPr>
        <w:t xml:space="preserve">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1. Se solicita Copia del </w:t>
      </w:r>
      <w:r w:rsidRPr="00633A1E">
        <w:rPr>
          <w:rFonts w:ascii="Palatino Linotype" w:hAnsi="Palatino Linotype" w:cs="Arial"/>
          <w:b/>
          <w:i/>
        </w:rPr>
        <w:t>contrato de prestación de servicios</w:t>
      </w:r>
      <w:r w:rsidRPr="00633A1E">
        <w:rPr>
          <w:rFonts w:ascii="Palatino Linotype" w:hAnsi="Palatino Linotype" w:cs="Arial"/>
          <w:i/>
        </w:rPr>
        <w:t xml:space="preserve"> por concepto de suministro de energía eléctrica por parte de la CFE al municipio (ayuntamiento).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2. Se solicita Copia del </w:t>
      </w:r>
      <w:r w:rsidRPr="00633A1E">
        <w:rPr>
          <w:rFonts w:ascii="Palatino Linotype" w:hAnsi="Palatino Linotype" w:cs="Arial"/>
          <w:b/>
          <w:i/>
        </w:rPr>
        <w:t xml:space="preserve">convenio de “Peso por Peso” firmado entre la CFE y el municipio </w:t>
      </w:r>
      <w:r w:rsidRPr="00633A1E">
        <w:rPr>
          <w:rFonts w:ascii="Palatino Linotype" w:hAnsi="Palatino Linotype" w:cs="Arial"/>
          <w:i/>
        </w:rPr>
        <w:t xml:space="preserve">(ayuntamiento).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3. Se solicita Copia del </w:t>
      </w:r>
      <w:r w:rsidRPr="00633A1E">
        <w:rPr>
          <w:rFonts w:ascii="Palatino Linotype" w:hAnsi="Palatino Linotype" w:cs="Arial"/>
          <w:b/>
          <w:i/>
        </w:rPr>
        <w:t>convenio para recaudar el Derecho de Alumbrado Público “DAP”</w:t>
      </w:r>
      <w:r w:rsidRPr="00633A1E">
        <w:rPr>
          <w:rFonts w:ascii="Palatino Linotype" w:hAnsi="Palatino Linotype" w:cs="Arial"/>
          <w:i/>
        </w:rPr>
        <w:t xml:space="preserve"> firmado entre la CFE y el municipio (ayuntamiento). Así como la recaudación (monto) reportado por CFE al municipio de los años 2013, 2014, 2015, 2016, 2017 y los meses que van de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4. El listado y/o número de juicios y controversias promovidos por particulares en contra del municipio por el cobro del Derecho de Alumbrado Público “DAP” durante los años 2013, 2014, 2015, 2016, 2017 y los meses que van de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0A356D" w:rsidRPr="00633A1E" w:rsidRDefault="000A356D" w:rsidP="000A356D">
      <w:pPr>
        <w:tabs>
          <w:tab w:val="left" w:pos="851"/>
        </w:tabs>
        <w:spacing w:after="0" w:line="240" w:lineRule="auto"/>
        <w:ind w:left="851" w:right="901"/>
        <w:jc w:val="both"/>
        <w:rPr>
          <w:rFonts w:ascii="Palatino Linotype" w:hAnsi="Palatino Linotype" w:cs="Arial"/>
          <w:i/>
        </w:rPr>
      </w:pPr>
    </w:p>
    <w:p w:rsidR="000A356D" w:rsidRPr="00633A1E" w:rsidRDefault="000A356D" w:rsidP="000A356D">
      <w:pPr>
        <w:tabs>
          <w:tab w:val="left" w:pos="851"/>
        </w:tabs>
        <w:spacing w:after="0" w:line="240" w:lineRule="auto"/>
        <w:ind w:left="851" w:right="901"/>
        <w:jc w:val="both"/>
        <w:rPr>
          <w:rFonts w:ascii="Palatino Linotype" w:hAnsi="Palatino Linotype" w:cs="Arial"/>
          <w:i/>
        </w:rPr>
      </w:pPr>
      <w:r w:rsidRPr="00633A1E">
        <w:rPr>
          <w:rFonts w:ascii="Palatino Linotype" w:hAnsi="Palatino Linotype" w:cs="Arial"/>
          <w:i/>
        </w:rPr>
        <w:t>6. Las normas y lineamientos que el municipio sigue para operar y proporcionar el servicio de alumbrado público municipal.” (Sic)</w:t>
      </w:r>
    </w:p>
    <w:p w:rsidR="000A356D" w:rsidRPr="00633A1E" w:rsidRDefault="000A356D" w:rsidP="000A356D">
      <w:pPr>
        <w:spacing w:after="0" w:line="240" w:lineRule="auto"/>
        <w:ind w:left="851" w:right="901"/>
        <w:jc w:val="both"/>
        <w:rPr>
          <w:rFonts w:ascii="Palatino Linotype" w:hAnsi="Palatino Linotype" w:cs="Arial"/>
          <w:i/>
          <w:lang w:eastAsia="es-MX"/>
        </w:rPr>
      </w:pP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CF2C3E">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CF2C3E">
        <w:rPr>
          <w:rFonts w:ascii="Palatino Linotype" w:eastAsia="Calibri" w:hAnsi="Palatino Linotype" w:cs="Arial"/>
          <w:sz w:val="24"/>
          <w:szCs w:val="24"/>
        </w:rPr>
        <w:t>l</w:t>
      </w:r>
      <w:r w:rsidR="00FA571E">
        <w:rPr>
          <w:rFonts w:ascii="Palatino Linotype" w:eastAsia="Calibri" w:hAnsi="Palatino Linotype" w:cs="Arial"/>
          <w:sz w:val="24"/>
          <w:szCs w:val="24"/>
        </w:rPr>
        <w:t xml:space="preserve"> </w:t>
      </w:r>
      <w:r w:rsidR="00CF2C3E">
        <w:rPr>
          <w:rFonts w:ascii="Palatino Linotype" w:eastAsia="Calibri" w:hAnsi="Palatino Linotype" w:cs="Arial"/>
          <w:sz w:val="24"/>
          <w:szCs w:val="24"/>
        </w:rPr>
        <w:t xml:space="preserve"> </w:t>
      </w:r>
      <w:r w:rsidR="00CF2C3E" w:rsidRPr="00B76C89">
        <w:rPr>
          <w:rFonts w:ascii="Palatino Linotype" w:eastAsia="Calibri" w:hAnsi="Palatino Linotype" w:cs="Arial"/>
          <w:b/>
          <w:sz w:val="24"/>
          <w:szCs w:val="24"/>
        </w:rPr>
        <w:t>Ayuntamiento de Tlatlaya</w:t>
      </w:r>
      <w:r w:rsidR="00B76C89" w:rsidRPr="00B76C89">
        <w:rPr>
          <w:rFonts w:ascii="Palatino Linotype" w:eastAsia="Calibri" w:hAnsi="Palatino Linotype" w:cs="Arial"/>
          <w:b/>
          <w:sz w:val="24"/>
          <w:szCs w:val="24"/>
        </w:rPr>
        <w:t>,</w:t>
      </w:r>
      <w:r w:rsidR="00A46EBA" w:rsidRPr="00B76C89">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0A356D">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0A356D">
        <w:rPr>
          <w:rFonts w:ascii="Palatino Linotype" w:hAnsi="Palatino Linotype" w:cs="Arial"/>
          <w:b/>
          <w:sz w:val="24"/>
          <w:szCs w:val="24"/>
        </w:rPr>
        <w:t xml:space="preserve"> al </w:t>
      </w:r>
      <w:r w:rsidR="000A356D" w:rsidRPr="000A356D">
        <w:rPr>
          <w:rFonts w:ascii="Palatino Linotype" w:hAnsi="Palatino Linotype" w:cs="Arial"/>
          <w:b/>
          <w:sz w:val="24"/>
          <w:szCs w:val="24"/>
        </w:rPr>
        <w:t>Ayuntamiento de Tlatlaya</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“1. El importe por concepto de alumbrado público emitido por la Comisión Federal de Electricidad al Municipio, por el periodo comprendido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2. La cantidad adeudada por concepto de consumo de energía eléctrica en el alumbrado público al 13 de noviembre de 2018, así como, montos acumulados y fecha desde la cual no se ha realizado pago alguno.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3. Las partidas presupuestales y el monto erogado por concepto de consumo de energía eléctrica, así como, mantenimiento del sistema de alumbrado público;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lastRenderedPageBreak/>
        <w:t>4. Los lugares y número de luminarias que fueron sustituidas, arregladas o transformadas, derivado del mantenimiento preventivo o correctivo del sistema de alumbrado público; así como, sus características, del periodo comprendido del 01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5. De los censos de alumbrado público de los ejercicios 2016, 2017 y el último generado al 13 de noviembre de 2018, o documento análogo en el que advierta: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a)</w:t>
      </w:r>
      <w:r w:rsidRPr="000A356D">
        <w:rPr>
          <w:rFonts w:ascii="Palatino Linotype" w:hAnsi="Palatino Linotype"/>
          <w:i/>
          <w:sz w:val="24"/>
          <w:szCs w:val="24"/>
        </w:rPr>
        <w:tab/>
        <w:t>La cantidad de luminarias y balastros instalados, tipo de equipo, capacidad (potencia), ubicación (calle y/o colonia y/o delegación) y tipo de poste en el que se encuentre (lámina, concreto, madera u otro), así como, la cantidad de luminarias y balastros instalados que poseen equipo de medición, indicando de ser posible el tipo de equipo y capacidad.</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b)</w:t>
      </w:r>
      <w:r w:rsidRPr="000A356D">
        <w:rPr>
          <w:rFonts w:ascii="Palatino Linotype" w:hAnsi="Palatino Linotype"/>
          <w:i/>
          <w:sz w:val="24"/>
          <w:szCs w:val="24"/>
        </w:rPr>
        <w:tab/>
        <w:t>El Registro Móvil de Usuario (RMU) asignado al servicio de alumbrado público.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 xml:space="preserve">6. De los proyectos de electrificación para ampliar el sistema de alumbrado público y ofrecer este servicio a la comunidad, por el periodo comprendido del 1 de enero de 2013 al 13 de noviembre de 2018: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a)</w:t>
      </w:r>
      <w:r w:rsidRPr="000A356D">
        <w:rPr>
          <w:rFonts w:ascii="Palatino Linotype" w:hAnsi="Palatino Linotype"/>
          <w:i/>
          <w:sz w:val="24"/>
          <w:szCs w:val="24"/>
        </w:rPr>
        <w:tab/>
        <w:t>El monto total de la inversión.</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b)</w:t>
      </w:r>
      <w:r w:rsidRPr="000A356D">
        <w:rPr>
          <w:rFonts w:ascii="Palatino Linotype" w:hAnsi="Palatino Linotype"/>
          <w:i/>
          <w:sz w:val="24"/>
          <w:szCs w:val="24"/>
        </w:rPr>
        <w:tab/>
        <w:t>La fuente de financiamiento.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c)</w:t>
      </w:r>
      <w:r w:rsidRPr="000A356D">
        <w:rPr>
          <w:rFonts w:ascii="Palatino Linotype" w:hAnsi="Palatino Linotype"/>
          <w:i/>
          <w:sz w:val="24"/>
          <w:szCs w:val="24"/>
        </w:rPr>
        <w:tab/>
        <w:t>La cantidad de equipos colocados y/o sustituidos.</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d)</w:t>
      </w:r>
      <w:r w:rsidRPr="000A356D">
        <w:rPr>
          <w:rFonts w:ascii="Palatino Linotype" w:hAnsi="Palatino Linotype"/>
          <w:i/>
          <w:sz w:val="24"/>
          <w:szCs w:val="24"/>
        </w:rPr>
        <w:tab/>
        <w:t>El tipo de equipos (Led, VSAP, suburbana, etcétera).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e)</w:t>
      </w:r>
      <w:r w:rsidRPr="000A356D">
        <w:rPr>
          <w:rFonts w:ascii="Palatino Linotype" w:hAnsi="Palatino Linotype"/>
          <w:i/>
          <w:sz w:val="24"/>
          <w:szCs w:val="24"/>
        </w:rPr>
        <w:tab/>
        <w:t xml:space="preserve">La capacidad (potencia).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f)</w:t>
      </w:r>
      <w:r w:rsidRPr="000A356D">
        <w:rPr>
          <w:rFonts w:ascii="Palatino Linotype" w:hAnsi="Palatino Linotype"/>
          <w:i/>
          <w:sz w:val="24"/>
          <w:szCs w:val="24"/>
        </w:rPr>
        <w:tab/>
        <w:t xml:space="preserve">La ubicación (calle, colonia y/o delegación).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lastRenderedPageBreak/>
        <w:t>g)</w:t>
      </w:r>
      <w:r w:rsidRPr="000A356D">
        <w:rPr>
          <w:rFonts w:ascii="Palatino Linotype" w:hAnsi="Palatino Linotype"/>
          <w:i/>
          <w:sz w:val="24"/>
          <w:szCs w:val="24"/>
        </w:rPr>
        <w:tab/>
        <w:t>La fecha de inicio y término de obra.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h)</w:t>
      </w:r>
      <w:r w:rsidRPr="000A356D">
        <w:rPr>
          <w:rFonts w:ascii="Palatino Linotype" w:hAnsi="Palatino Linotype"/>
          <w:i/>
          <w:sz w:val="24"/>
          <w:szCs w:val="24"/>
        </w:rPr>
        <w:tab/>
        <w:t>La fecha de modificación de su nuevo consumo en el sistema de facturación del alumbrado público ante CFE.</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i)</w:t>
      </w:r>
      <w:r w:rsidRPr="000A356D">
        <w:rPr>
          <w:rFonts w:ascii="Palatino Linotype" w:hAnsi="Palatino Linotype"/>
          <w:i/>
          <w:sz w:val="24"/>
          <w:szCs w:val="24"/>
        </w:rPr>
        <w:tab/>
        <w:t>Medio de publicación de los proyectos.</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7. De los proyectos parciales o totales de modernización de alumbrado público, por el periodo comprendido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a)</w:t>
      </w:r>
      <w:r w:rsidRPr="000A356D">
        <w:rPr>
          <w:rFonts w:ascii="Palatino Linotype" w:hAnsi="Palatino Linotype"/>
          <w:i/>
          <w:sz w:val="24"/>
          <w:szCs w:val="24"/>
        </w:rPr>
        <w:tab/>
        <w:t>El monto total de la inversión.</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b)</w:t>
      </w:r>
      <w:r w:rsidRPr="000A356D">
        <w:rPr>
          <w:rFonts w:ascii="Palatino Linotype" w:hAnsi="Palatino Linotype"/>
          <w:i/>
          <w:sz w:val="24"/>
          <w:szCs w:val="24"/>
        </w:rPr>
        <w:tab/>
        <w:t xml:space="preserve">La fuente de financiamiento.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c)</w:t>
      </w:r>
      <w:r w:rsidRPr="000A356D">
        <w:rPr>
          <w:rFonts w:ascii="Palatino Linotype" w:hAnsi="Palatino Linotype"/>
          <w:i/>
          <w:sz w:val="24"/>
          <w:szCs w:val="24"/>
        </w:rPr>
        <w:tab/>
        <w:t>La cantidad de equipos colocados y/o sustituidos.</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d)</w:t>
      </w:r>
      <w:r w:rsidRPr="000A356D">
        <w:rPr>
          <w:rFonts w:ascii="Palatino Linotype" w:hAnsi="Palatino Linotype"/>
          <w:i/>
          <w:sz w:val="24"/>
          <w:szCs w:val="24"/>
        </w:rPr>
        <w:tab/>
        <w:t>El tipo de equipos (Led, VSAP, suburbana, etcétera).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e)</w:t>
      </w:r>
      <w:r w:rsidRPr="000A356D">
        <w:rPr>
          <w:rFonts w:ascii="Palatino Linotype" w:hAnsi="Palatino Linotype"/>
          <w:i/>
          <w:sz w:val="24"/>
          <w:szCs w:val="24"/>
        </w:rPr>
        <w:tab/>
        <w:t>La capacidad (potencia).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f)</w:t>
      </w:r>
      <w:r w:rsidRPr="000A356D">
        <w:rPr>
          <w:rFonts w:ascii="Palatino Linotype" w:hAnsi="Palatino Linotype"/>
          <w:i/>
          <w:sz w:val="24"/>
          <w:szCs w:val="24"/>
        </w:rPr>
        <w:tab/>
        <w:t xml:space="preserve">La ubicación (calle, colonia y/o delegación).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g)</w:t>
      </w:r>
      <w:r w:rsidRPr="000A356D">
        <w:rPr>
          <w:rFonts w:ascii="Palatino Linotype" w:hAnsi="Palatino Linotype"/>
          <w:i/>
          <w:sz w:val="24"/>
          <w:szCs w:val="24"/>
        </w:rPr>
        <w:tab/>
        <w:t>La fecha de inicio y término de obra.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h)</w:t>
      </w:r>
      <w:r w:rsidRPr="000A356D">
        <w:rPr>
          <w:rFonts w:ascii="Palatino Linotype" w:hAnsi="Palatino Linotype"/>
          <w:i/>
          <w:sz w:val="24"/>
          <w:szCs w:val="24"/>
        </w:rPr>
        <w:tab/>
        <w:t>La georreferenciación de cada uno de los puntos de luz del nuevo alumbrado público.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i)</w:t>
      </w:r>
      <w:r w:rsidRPr="000A356D">
        <w:rPr>
          <w:rFonts w:ascii="Palatino Linotype" w:hAnsi="Palatino Linotype"/>
          <w:i/>
          <w:sz w:val="24"/>
          <w:szCs w:val="24"/>
        </w:rPr>
        <w:tab/>
        <w:t>La fecha de modificación de su nuevo consumo en el sistema de facturación del alumbrado público ante CFE.</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j)</w:t>
      </w:r>
      <w:r w:rsidRPr="000A356D">
        <w:rPr>
          <w:rFonts w:ascii="Palatino Linotype" w:hAnsi="Palatino Linotype"/>
          <w:i/>
          <w:sz w:val="24"/>
          <w:szCs w:val="24"/>
        </w:rPr>
        <w:tab/>
        <w:t>El tipo de contrato celebrado para la adquisición de los nuevos equipos.</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k)</w:t>
      </w:r>
      <w:r w:rsidRPr="000A356D">
        <w:rPr>
          <w:rFonts w:ascii="Palatino Linotype" w:hAnsi="Palatino Linotype"/>
          <w:i/>
          <w:sz w:val="24"/>
          <w:szCs w:val="24"/>
        </w:rPr>
        <w:tab/>
        <w:t>Número y nombre de las empresas concursantes o convocadas.</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l)</w:t>
      </w:r>
      <w:r w:rsidRPr="000A356D">
        <w:rPr>
          <w:rFonts w:ascii="Palatino Linotype" w:hAnsi="Palatino Linotype"/>
          <w:i/>
          <w:sz w:val="24"/>
          <w:szCs w:val="24"/>
        </w:rPr>
        <w:tab/>
        <w:t>Los criterios de selección, utilizados por el comité de adquisiciones, para elegir a la empresa contratada y para realizar la modernización del sistema de alumbrado público.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lastRenderedPageBreak/>
        <w:t>m)</w:t>
      </w:r>
      <w:r w:rsidRPr="000A356D">
        <w:rPr>
          <w:rFonts w:ascii="Palatino Linotype" w:hAnsi="Palatino Linotype"/>
          <w:i/>
          <w:sz w:val="24"/>
          <w:szCs w:val="24"/>
        </w:rPr>
        <w:tab/>
        <w:t xml:space="preserve">Las actas de cabildo en la que se autorizó el proyecto.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8. El número de solicitudes ciudadanas realizadas al municipio para ampliar el sistema de alumbrado público mediante proyectos de electrificación, por el periodo comprendido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9. El número de solicitudes ciudadanas que fueron atendidas; así como concluidas para ampliar el sistema de alumbrado público, por el periodo comprendido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10. El último contrato de prestación de servicios por concepto de suministro de energía eléctrica por parte de la Comisión Federal de Electricidad (“CFE”) al municipio,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 xml:space="preserve">11. El último convenio de “Peso por Peso” celebrado entre la Comisión Federal de Electricidad y el municipio, al 13 de noviembre de 2018.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 xml:space="preserve">12. El o los convenios para recaudar el Derecho de Alumbrado Público “DAP” celebrados entre la Comisión Federal de Electricidad y el Municipio, durante el periodo del 1 de enero de 2013 al 13 de noviembre de 2018; así como el monto recaudado por el periodo referido. </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13. El número de juicios y/o controversias promovidos por particulares en contra del Municipio por el cobro del derecho por el servicio de Alumbrado Público, durante el periodo comprendido del 1 de enero de 2013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14. El sentido de la resolución o sentencia de los juicios y/o controversias promovidos por particulares en contra del Municipio por el cobro del derecho del servicio de Alumbrado Público, que se encuentren concluidos al 13 de noviembre de 2018.</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lastRenderedPageBreak/>
        <w:t>15. Las normas vigentes al 13 de noviembre de 2018 que el Municipio sigue para la operación y prestación del servicio de alumbrado público.</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r w:rsidRPr="000A356D">
        <w:rPr>
          <w:rFonts w:ascii="Palatino Linotype" w:hAnsi="Palatino Linotype"/>
          <w:i/>
          <w:sz w:val="24"/>
          <w:szCs w:val="24"/>
        </w:rPr>
        <w:t xml:space="preserve">Debiendo notificar a </w:t>
      </w:r>
      <w:r w:rsidRPr="000A356D">
        <w:rPr>
          <w:rFonts w:ascii="Palatino Linotype" w:hAnsi="Palatino Linotype"/>
          <w:b/>
          <w:i/>
          <w:sz w:val="24"/>
          <w:szCs w:val="24"/>
        </w:rPr>
        <w:t>LA RECURRENTE</w:t>
      </w:r>
      <w:r w:rsidRPr="000A356D">
        <w:rPr>
          <w:rFonts w:ascii="Palatino Linotype" w:hAnsi="Palatino Linotype"/>
          <w:i/>
          <w:sz w:val="24"/>
          <w:szCs w:val="24"/>
        </w:rPr>
        <w:t xml:space="preserve"> el Acuerdo de Clasificación de la información que emita en su caso el Comité de Transparencia con motivo de la versión pública.</w:t>
      </w:r>
    </w:p>
    <w:p w:rsidR="000A356D" w:rsidRPr="000A356D" w:rsidRDefault="000A356D" w:rsidP="000A356D">
      <w:pPr>
        <w:pStyle w:val="Prrafodelista"/>
        <w:spacing w:before="120" w:after="120" w:line="360" w:lineRule="auto"/>
        <w:ind w:right="49"/>
        <w:jc w:val="both"/>
        <w:rPr>
          <w:rFonts w:ascii="Palatino Linotype" w:hAnsi="Palatino Linotype"/>
          <w:i/>
          <w:sz w:val="24"/>
          <w:szCs w:val="24"/>
        </w:rPr>
      </w:pPr>
    </w:p>
    <w:p w:rsidR="00332757" w:rsidRDefault="000A356D" w:rsidP="000A356D">
      <w:pPr>
        <w:pStyle w:val="Prrafodelista"/>
        <w:spacing w:before="120" w:after="120" w:line="360" w:lineRule="auto"/>
        <w:ind w:left="0" w:right="49"/>
        <w:jc w:val="both"/>
        <w:rPr>
          <w:rFonts w:ascii="Palatino Linotype" w:hAnsi="Palatino Linotype"/>
          <w:i/>
          <w:sz w:val="24"/>
          <w:szCs w:val="24"/>
        </w:rPr>
      </w:pPr>
      <w:r w:rsidRPr="000A356D">
        <w:rPr>
          <w:rFonts w:ascii="Palatino Linotype" w:hAnsi="Palatino Linotype"/>
          <w:i/>
          <w:sz w:val="24"/>
          <w:szCs w:val="24"/>
        </w:rPr>
        <w:t xml:space="preserve">Para el caso de que la información de la que se ordena la entrega en los numerales 2, 6, 7, 8, 9, 11, 12, 13 y 14 no obre en sus archivos por no haberse generado, poseído o administrado por </w:t>
      </w:r>
      <w:r w:rsidRPr="000A356D">
        <w:rPr>
          <w:rFonts w:ascii="Palatino Linotype" w:hAnsi="Palatino Linotype"/>
          <w:b/>
          <w:i/>
          <w:sz w:val="24"/>
          <w:szCs w:val="24"/>
        </w:rPr>
        <w:t>EL SUJETO OBLIGADO</w:t>
      </w:r>
      <w:r w:rsidRPr="000A356D">
        <w:rPr>
          <w:rFonts w:ascii="Palatino Linotype" w:hAnsi="Palatino Linotype"/>
          <w:i/>
          <w:sz w:val="24"/>
          <w:szCs w:val="24"/>
        </w:rPr>
        <w:t xml:space="preserve"> deberá hacerlo del conocimiento </w:t>
      </w:r>
      <w:r w:rsidRPr="000A356D">
        <w:rPr>
          <w:rFonts w:ascii="Palatino Linotype" w:hAnsi="Palatino Linotype"/>
          <w:b/>
          <w:i/>
          <w:sz w:val="24"/>
          <w:szCs w:val="24"/>
        </w:rPr>
        <w:t>a LA RECURRENTE</w:t>
      </w:r>
      <w:r w:rsidRPr="000A356D">
        <w:rPr>
          <w:rFonts w:ascii="Palatino Linotype" w:hAnsi="Palatino Linotype"/>
          <w:i/>
          <w:sz w:val="24"/>
          <w:szCs w:val="24"/>
        </w:rPr>
        <w:t>.”</w:t>
      </w:r>
    </w:p>
    <w:p w:rsidR="000A356D" w:rsidRPr="000A356D" w:rsidRDefault="000A356D" w:rsidP="000A356D">
      <w:pPr>
        <w:pStyle w:val="Prrafodelista"/>
        <w:spacing w:before="120" w:after="120" w:line="360" w:lineRule="auto"/>
        <w:ind w:left="0" w:right="49"/>
        <w:jc w:val="both"/>
        <w:rPr>
          <w:rFonts w:ascii="Palatino Linotype" w:hAnsi="Palatino Linotype"/>
          <w:i/>
          <w:sz w:val="24"/>
          <w:szCs w:val="24"/>
        </w:rPr>
      </w:pPr>
    </w:p>
    <w:p w:rsidR="001A5DCA" w:rsidRPr="000A356D"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w:t>
      </w:r>
      <w:r w:rsidR="000A356D">
        <w:rPr>
          <w:rFonts w:ascii="Palatino Linotype" w:eastAsia="Times New Roman" w:hAnsi="Palatino Linotype" w:cs="Arial"/>
          <w:sz w:val="24"/>
        </w:rPr>
        <w:t>los numerales 2, 6, 7, 8, 9, 11, 12, 13, y 14:</w:t>
      </w:r>
    </w:p>
    <w:p w:rsidR="000A356D" w:rsidRDefault="000A356D" w:rsidP="000A356D">
      <w:pPr>
        <w:pStyle w:val="Prrafodelista"/>
        <w:spacing w:before="240" w:after="240" w:line="360" w:lineRule="auto"/>
        <w:ind w:left="0" w:right="49"/>
        <w:jc w:val="both"/>
        <w:rPr>
          <w:rFonts w:ascii="Palatino Linotype" w:eastAsia="Times New Roman" w:hAnsi="Palatino Linotype" w:cs="Arial"/>
          <w:i/>
          <w:sz w:val="24"/>
        </w:rPr>
      </w:pPr>
    </w:p>
    <w:p w:rsidR="000A356D" w:rsidRPr="000A356D" w:rsidRDefault="000A356D" w:rsidP="000A356D">
      <w:pPr>
        <w:pStyle w:val="Prrafodelista"/>
        <w:spacing w:before="240" w:after="240" w:line="360" w:lineRule="auto"/>
        <w:ind w:left="0" w:right="49"/>
        <w:jc w:val="both"/>
        <w:rPr>
          <w:rFonts w:ascii="Palatino Linotype" w:eastAsia="Times New Roman" w:hAnsi="Palatino Linotype" w:cs="Arial"/>
          <w:i/>
          <w:sz w:val="24"/>
        </w:rPr>
      </w:pPr>
      <w:r w:rsidRPr="000A356D">
        <w:rPr>
          <w:rFonts w:ascii="Palatino Linotype" w:eastAsia="Times New Roman" w:hAnsi="Palatino Linotype" w:cs="Arial"/>
          <w:i/>
          <w:sz w:val="24"/>
        </w:rPr>
        <w:t xml:space="preserve">Para el caso de que la información de la que se ordena la entrega en los numerales 2, 6, 7, 8, 9, 11, 12, 13 y 14 no obre en sus archivos por no haberse generado, poseído o administrado por </w:t>
      </w:r>
      <w:r w:rsidRPr="000A356D">
        <w:rPr>
          <w:rFonts w:ascii="Palatino Linotype" w:eastAsia="Times New Roman" w:hAnsi="Palatino Linotype" w:cs="Arial"/>
          <w:b/>
          <w:i/>
          <w:sz w:val="24"/>
        </w:rPr>
        <w:t>EL SUJETO OBLIGADO</w:t>
      </w:r>
      <w:r w:rsidRPr="000A356D">
        <w:rPr>
          <w:rFonts w:ascii="Palatino Linotype" w:eastAsia="Times New Roman" w:hAnsi="Palatino Linotype" w:cs="Arial"/>
          <w:i/>
          <w:sz w:val="24"/>
        </w:rPr>
        <w:t xml:space="preserve"> deberá hacerlo del conocimiento a </w:t>
      </w:r>
      <w:r w:rsidRPr="000A356D">
        <w:rPr>
          <w:rFonts w:ascii="Palatino Linotype" w:eastAsia="Times New Roman" w:hAnsi="Palatino Linotype" w:cs="Arial"/>
          <w:b/>
          <w:i/>
          <w:sz w:val="24"/>
        </w:rPr>
        <w:t>LA RECURRENTE</w:t>
      </w:r>
    </w:p>
    <w:p w:rsidR="000A356D" w:rsidRPr="00720807" w:rsidRDefault="000A356D" w:rsidP="000A356D">
      <w:pPr>
        <w:pStyle w:val="Prrafodelista"/>
        <w:spacing w:before="240" w:after="240" w:line="360" w:lineRule="auto"/>
        <w:ind w:left="0" w:right="49"/>
        <w:jc w:val="both"/>
        <w:rPr>
          <w:rFonts w:ascii="Palatino Linotype" w:eastAsia="Times New Roman" w:hAnsi="Palatino Linotype" w:cs="Arial"/>
          <w:i/>
          <w:sz w:val="24"/>
        </w:rPr>
      </w:pPr>
    </w:p>
    <w:p w:rsidR="00FA571E" w:rsidRDefault="00FA571E" w:rsidP="00720807">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15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15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9B1407" w:rsidRPr="009B1407" w:rsidRDefault="009B1407" w:rsidP="009B1407"/>
    <w:p w:rsidR="00E6179D" w:rsidRPr="0083488C" w:rsidRDefault="00CD53CB" w:rsidP="00CD53CB">
      <w:pPr>
        <w:pStyle w:val="Ttulo1"/>
        <w:rPr>
          <w:rFonts w:eastAsia="Calibri"/>
          <w:szCs w:val="24"/>
        </w:rPr>
      </w:pPr>
      <w:bookmarkStart w:id="6" w:name="_Toc263415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0C4FA1" w:rsidRDefault="000C4FA1"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CA8" w:rsidRDefault="00F00CA8" w:rsidP="00E82D3D">
      <w:pPr>
        <w:spacing w:after="0" w:line="240" w:lineRule="auto"/>
      </w:pPr>
      <w:r>
        <w:separator/>
      </w:r>
    </w:p>
  </w:endnote>
  <w:endnote w:type="continuationSeparator" w:id="0">
    <w:p w:rsidR="00F00CA8" w:rsidRDefault="00F00CA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5FA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5FAC">
              <w:rPr>
                <w:b/>
                <w:bCs/>
                <w:noProof/>
              </w:rPr>
              <w:t>35</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CA8" w:rsidRDefault="00F00CA8" w:rsidP="00E82D3D">
      <w:pPr>
        <w:spacing w:after="0" w:line="240" w:lineRule="auto"/>
      </w:pPr>
      <w:r>
        <w:separator/>
      </w:r>
    </w:p>
  </w:footnote>
  <w:footnote w:type="continuationSeparator" w:id="0">
    <w:p w:rsidR="00F00CA8" w:rsidRDefault="00F00CA8"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00C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00C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00C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302E"/>
    <w:rsid w:val="0009506C"/>
    <w:rsid w:val="000957D0"/>
    <w:rsid w:val="00096CC2"/>
    <w:rsid w:val="000A17C5"/>
    <w:rsid w:val="000A356D"/>
    <w:rsid w:val="000B09D7"/>
    <w:rsid w:val="000B2BE4"/>
    <w:rsid w:val="000C4FA1"/>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34C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D5924"/>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76C89"/>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77763"/>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2C3E"/>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5FAC"/>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B7EB2"/>
    <w:rsid w:val="00EC6B7E"/>
    <w:rsid w:val="00EF21BF"/>
    <w:rsid w:val="00EF3EA6"/>
    <w:rsid w:val="00EF6FDF"/>
    <w:rsid w:val="00F00B7C"/>
    <w:rsid w:val="00F00CA8"/>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749D-4922-4F31-8EDE-845C9967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7358</Words>
  <Characters>40470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2019-03-05T19:05:00Z</cp:lastPrinted>
  <dcterms:created xsi:type="dcterms:W3CDTF">2019-03-13T23:54:00Z</dcterms:created>
  <dcterms:modified xsi:type="dcterms:W3CDTF">2019-03-13T23:54:00Z</dcterms:modified>
</cp:coreProperties>
</file>